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55" w:rsidRPr="00D26AF3" w:rsidRDefault="00CA2755" w:rsidP="00CA2755">
      <w:pPr>
        <w:pStyle w:val="2"/>
        <w:shd w:val="clear" w:color="auto" w:fill="FFFFFF"/>
        <w:spacing w:before="525" w:beforeAutospacing="0" w:after="315" w:afterAutospacing="0"/>
        <w:rPr>
          <w:b w:val="0"/>
          <w:bCs w:val="0"/>
          <w:color w:val="002602"/>
          <w:sz w:val="24"/>
          <w:szCs w:val="24"/>
        </w:rPr>
      </w:pPr>
      <w:r w:rsidRPr="00D26AF3">
        <w:rPr>
          <w:b w:val="0"/>
          <w:bCs w:val="0"/>
          <w:color w:val="002602"/>
          <w:sz w:val="24"/>
          <w:szCs w:val="24"/>
        </w:rPr>
        <w:t>Штрафы за нарушение требований</w:t>
      </w:r>
    </w:p>
    <w:p w:rsidR="00CA2755" w:rsidRPr="00D26AF3" w:rsidRDefault="00CA2755" w:rsidP="00CA2755">
      <w:pPr>
        <w:pStyle w:val="a3"/>
        <w:shd w:val="clear" w:color="auto" w:fill="FFFFFF"/>
        <w:spacing w:after="240" w:afterAutospacing="0"/>
        <w:jc w:val="both"/>
        <w:rPr>
          <w:color w:val="595C5E"/>
        </w:rPr>
      </w:pPr>
      <w:r w:rsidRPr="00D26AF3">
        <w:rPr>
          <w:color w:val="595C5E"/>
        </w:rPr>
        <w:t>Если пешеход не соблюдает обозначенные правила и не пользуется светоотражающими элементами в периоды недостаточной видимости (темнота и туман) вне территорий населенных пунктов, предусмотрено наложение штрафа за нарушение требований в размере 500 рублей. Такой же штраф налагается и на водителя в случае, если ему пришлось выйти из транспорта в условиях плохой видимости.</w:t>
      </w:r>
    </w:p>
    <w:p w:rsidR="00CA2755" w:rsidRPr="00D26AF3" w:rsidRDefault="00CA2755" w:rsidP="00CA2755">
      <w:pPr>
        <w:pStyle w:val="a3"/>
        <w:shd w:val="clear" w:color="auto" w:fill="FFFFFF"/>
        <w:spacing w:after="240" w:afterAutospacing="0"/>
        <w:jc w:val="both"/>
        <w:rPr>
          <w:color w:val="595C5E"/>
        </w:rPr>
      </w:pPr>
      <w:r w:rsidRPr="00D26AF3">
        <w:rPr>
          <w:color w:val="595C5E"/>
        </w:rPr>
        <w:t>Иногда вещи, кажущиеся незначительными на первый взгляд, могут спасти жизни. Именно такими являются светоотражающие элементы. Соблюдая простые правила и элементарные требования, можно обеспечить защиту и максимально снизить риски аварийных ситуаций на дорогах.</w:t>
      </w:r>
    </w:p>
    <w:p w:rsidR="00CA2755" w:rsidRPr="00D26AF3" w:rsidRDefault="00CA2755" w:rsidP="00CA2755">
      <w:pPr>
        <w:pStyle w:val="aligncenter"/>
        <w:spacing w:before="210" w:beforeAutospacing="0" w:after="0" w:afterAutospacing="0"/>
        <w:jc w:val="center"/>
        <w:outlineLvl w:val="1"/>
        <w:rPr>
          <w:b/>
          <w:bCs/>
          <w:kern w:val="36"/>
        </w:rPr>
      </w:pPr>
      <w:r w:rsidRPr="00D26AF3">
        <w:rPr>
          <w:b/>
          <w:bCs/>
          <w:kern w:val="36"/>
        </w:rPr>
        <w:t>Обязанности пешеходов, пассажиров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4" w:anchor="dst100124" w:history="1">
        <w:r w:rsidRPr="00D26AF3">
          <w:rPr>
            <w:rStyle w:val="a4"/>
            <w:color w:val="1A0DAB"/>
          </w:rPr>
          <w:t>Разделы 4</w:t>
        </w:r>
      </w:hyperlink>
      <w:r w:rsidRPr="00D26AF3">
        <w:t> и </w:t>
      </w:r>
      <w:hyperlink r:id="rId5" w:anchor="dst100138" w:history="1">
        <w:r w:rsidRPr="00D26AF3">
          <w:rPr>
            <w:rStyle w:val="a4"/>
            <w:color w:val="1A0DAB"/>
          </w:rPr>
          <w:t>5</w:t>
        </w:r>
      </w:hyperlink>
      <w:r w:rsidRPr="00D26AF3">
        <w:t> ПДД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t>Нарушение пешеходом или пассажиром транспортного средства </w:t>
      </w:r>
      <w:hyperlink r:id="rId6" w:anchor="dst100015" w:history="1">
        <w:r w:rsidRPr="00D26AF3">
          <w:rPr>
            <w:rStyle w:val="a4"/>
            <w:color w:val="1A0DAB"/>
          </w:rPr>
          <w:t>Правил</w:t>
        </w:r>
      </w:hyperlink>
      <w:r w:rsidRPr="00D26AF3">
        <w:t> дорожного движения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7" w:anchor="dst101061" w:history="1">
        <w:r w:rsidRPr="00D26AF3">
          <w:rPr>
            <w:rStyle w:val="a4"/>
            <w:color w:val="1A0DAB"/>
          </w:rPr>
          <w:t>Статья 12.29 часть 1</w:t>
        </w:r>
      </w:hyperlink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t>Предупреждение или штраф 500 рублей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8" w:anchor="dst100068" w:history="1">
        <w:r w:rsidRPr="00D26AF3">
          <w:rPr>
            <w:rStyle w:val="a4"/>
            <w:color w:val="1A0DAB"/>
          </w:rPr>
          <w:t>&lt;**&gt;</w:t>
        </w:r>
      </w:hyperlink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t>Нарушение </w:t>
      </w:r>
      <w:hyperlink r:id="rId9" w:anchor="dst100015" w:history="1">
        <w:r w:rsidRPr="00D26AF3">
          <w:rPr>
            <w:rStyle w:val="a4"/>
            <w:color w:val="1A0DAB"/>
          </w:rPr>
          <w:t>Правил</w:t>
        </w:r>
      </w:hyperlink>
      <w:r w:rsidRPr="00D26AF3">
        <w:t> дорожного движения лицом, управляющим велосипедом, либо возчиком или другим лицом, непосредственно участвующим в процессе дорожного движения (за исключением пешехода и пассажира транспортного средства, а также водителя транспортного средства)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10" w:anchor="dst5741" w:history="1">
        <w:r w:rsidRPr="00D26AF3">
          <w:rPr>
            <w:rStyle w:val="a4"/>
            <w:color w:val="1A0DAB"/>
          </w:rPr>
          <w:t>Статья 12.29 часть 2</w:t>
        </w:r>
      </w:hyperlink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t>Штраф 800 рублей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11" w:anchor="dst100068" w:history="1">
        <w:r w:rsidRPr="00D26AF3">
          <w:rPr>
            <w:rStyle w:val="a4"/>
            <w:color w:val="1A0DAB"/>
          </w:rPr>
          <w:t>&lt;**&gt;</w:t>
        </w:r>
      </w:hyperlink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t>То же самое, совершенное в состоянии опьянения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12" w:anchor="dst101065" w:history="1">
        <w:r w:rsidRPr="00D26AF3">
          <w:rPr>
            <w:rStyle w:val="a4"/>
            <w:color w:val="1A0DAB"/>
          </w:rPr>
          <w:t>Статья 12.29 часть 3</w:t>
        </w:r>
      </w:hyperlink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t>Штраф от 1000 до 1500 рублей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13" w:anchor="dst100068" w:history="1">
        <w:r w:rsidRPr="00D26AF3">
          <w:rPr>
            <w:rStyle w:val="a4"/>
            <w:color w:val="1A0DAB"/>
          </w:rPr>
          <w:t>&lt;**&gt;</w:t>
        </w:r>
      </w:hyperlink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t>Нарушение </w:t>
      </w:r>
      <w:hyperlink r:id="rId14" w:anchor="dst100015" w:history="1">
        <w:r w:rsidRPr="00D26AF3">
          <w:rPr>
            <w:rStyle w:val="a4"/>
            <w:color w:val="1A0DAB"/>
          </w:rPr>
          <w:t>Правил</w:t>
        </w:r>
      </w:hyperlink>
      <w:r w:rsidRPr="00D26AF3">
        <w:t> 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создание помех в движении транспортных средств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15" w:anchor="dst101068" w:history="1">
        <w:r w:rsidRPr="00D26AF3">
          <w:rPr>
            <w:rStyle w:val="a4"/>
            <w:color w:val="1A0DAB"/>
          </w:rPr>
          <w:t>Статья 12.30 часть 1</w:t>
        </w:r>
      </w:hyperlink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lastRenderedPageBreak/>
        <w:t>Штраф 1000 рублей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16" w:anchor="dst100068" w:history="1">
        <w:r w:rsidRPr="00D26AF3">
          <w:rPr>
            <w:rStyle w:val="a4"/>
            <w:color w:val="1A0DAB"/>
          </w:rPr>
          <w:t>&lt;**&gt;</w:t>
        </w:r>
      </w:hyperlink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t>Нарушение </w:t>
      </w:r>
      <w:hyperlink r:id="rId17" w:anchor="dst100015" w:history="1">
        <w:r w:rsidRPr="00D26AF3">
          <w:rPr>
            <w:rStyle w:val="a4"/>
            <w:color w:val="1A0DAB"/>
          </w:rPr>
          <w:t>Правил</w:t>
        </w:r>
      </w:hyperlink>
      <w:r w:rsidRPr="00D26AF3">
        <w:t> 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по неосторожности причинение легкого или средней тяжести вреда здоровью потерпевшего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18" w:anchor="dst104111" w:history="1">
        <w:r w:rsidRPr="00D26AF3">
          <w:rPr>
            <w:rStyle w:val="a4"/>
            <w:color w:val="1A0DAB"/>
          </w:rPr>
          <w:t>Статья 12.30 часть 2</w:t>
        </w:r>
      </w:hyperlink>
    </w:p>
    <w:p w:rsidR="00CA2755" w:rsidRPr="00D26AF3" w:rsidRDefault="00CA2755" w:rsidP="00CA2755">
      <w:pPr>
        <w:pStyle w:val="alignleft"/>
        <w:spacing w:before="210" w:beforeAutospacing="0" w:after="0" w:afterAutospacing="0"/>
      </w:pPr>
      <w:r w:rsidRPr="00D26AF3">
        <w:t>Штраф от 1000 до 1500 рублей</w:t>
      </w:r>
    </w:p>
    <w:p w:rsidR="00CA2755" w:rsidRPr="00D26AF3" w:rsidRDefault="00CA2755" w:rsidP="00CA2755">
      <w:pPr>
        <w:pStyle w:val="alignleft"/>
        <w:spacing w:before="210" w:beforeAutospacing="0" w:after="0" w:afterAutospacing="0"/>
      </w:pPr>
      <w:hyperlink r:id="rId19" w:anchor="dst100068" w:history="1">
        <w:r w:rsidRPr="00D26AF3">
          <w:rPr>
            <w:rStyle w:val="a4"/>
            <w:color w:val="1A0DAB"/>
          </w:rPr>
          <w:t>&lt;**&gt;</w:t>
        </w:r>
      </w:hyperlink>
    </w:p>
    <w:p w:rsidR="0018426C" w:rsidRDefault="0018426C">
      <w:bookmarkStart w:id="0" w:name="_GoBack"/>
      <w:bookmarkEnd w:id="0"/>
    </w:p>
    <w:sectPr w:rsidR="0018426C" w:rsidSect="001D0EC2">
      <w:pgSz w:w="11906" w:h="16838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1B"/>
    <w:rsid w:val="0018426C"/>
    <w:rsid w:val="001D0EC2"/>
    <w:rsid w:val="004B17EC"/>
    <w:rsid w:val="00CA2755"/>
    <w:rsid w:val="00CF0A1B"/>
    <w:rsid w:val="00D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8196-6C79-4104-A1D0-002FCE61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7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2755"/>
    <w:rPr>
      <w:color w:val="0563C1" w:themeColor="hyperlink"/>
      <w:u w:val="single"/>
    </w:rPr>
  </w:style>
  <w:style w:type="paragraph" w:customStyle="1" w:styleId="aligncenter">
    <w:name w:val="align_center"/>
    <w:basedOn w:val="a"/>
    <w:rsid w:val="00CA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CA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1627/5c7fbf29298f21fd2ea0c7a2116113038fd3a5b6/" TargetMode="External"/><Relationship Id="rId13" Type="http://schemas.openxmlformats.org/officeDocument/2006/relationships/hyperlink" Target="https://www.consultant.ru/document/cons_doc_LAW_101627/5c7fbf29298f21fd2ea0c7a2116113038fd3a5b6/" TargetMode="External"/><Relationship Id="rId18" Type="http://schemas.openxmlformats.org/officeDocument/2006/relationships/hyperlink" Target="https://www.consultant.ru/document/cons_doc_LAW_433320/19576731ca17b573e887d9b344b3252c74305b4b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433320/20eb60eb2fdfdf7b25ec84d4986aca7dc4f8424c/" TargetMode="External"/><Relationship Id="rId12" Type="http://schemas.openxmlformats.org/officeDocument/2006/relationships/hyperlink" Target="https://www.consultant.ru/document/cons_doc_LAW_433320/20eb60eb2fdfdf7b25ec84d4986aca7dc4f8424c/" TargetMode="External"/><Relationship Id="rId17" Type="http://schemas.openxmlformats.org/officeDocument/2006/relationships/hyperlink" Target="https://www.consultant.ru/document/cons_doc_LAW_391769/824c911000b3626674abf3ad6e38a6f04b8a74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01627/5c7fbf29298f21fd2ea0c7a2116113038fd3a5b6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91769/824c911000b3626674abf3ad6e38a6f04b8a7428/" TargetMode="External"/><Relationship Id="rId11" Type="http://schemas.openxmlformats.org/officeDocument/2006/relationships/hyperlink" Target="https://www.consultant.ru/document/cons_doc_LAW_101627/5c7fbf29298f21fd2ea0c7a2116113038fd3a5b6/" TargetMode="External"/><Relationship Id="rId5" Type="http://schemas.openxmlformats.org/officeDocument/2006/relationships/hyperlink" Target="https://www.consultant.ru/document/cons_doc_LAW_391769/ebac29ce89bbf83c3390095a126a259f746a0cb8/" TargetMode="External"/><Relationship Id="rId15" Type="http://schemas.openxmlformats.org/officeDocument/2006/relationships/hyperlink" Target="https://www.consultant.ru/document/cons_doc_LAW_433320/19576731ca17b573e887d9b344b3252c74305b4b/" TargetMode="External"/><Relationship Id="rId10" Type="http://schemas.openxmlformats.org/officeDocument/2006/relationships/hyperlink" Target="https://www.consultant.ru/document/cons_doc_LAW_433320/20eb60eb2fdfdf7b25ec84d4986aca7dc4f8424c/" TargetMode="External"/><Relationship Id="rId19" Type="http://schemas.openxmlformats.org/officeDocument/2006/relationships/hyperlink" Target="https://www.consultant.ru/document/cons_doc_LAW_101627/5c7fbf29298f21fd2ea0c7a2116113038fd3a5b6/" TargetMode="External"/><Relationship Id="rId4" Type="http://schemas.openxmlformats.org/officeDocument/2006/relationships/hyperlink" Target="https://www.consultant.ru/document/cons_doc_LAW_391769/1736bcf22f8e05f9d3db535f6d084651bad887a4/" TargetMode="External"/><Relationship Id="rId9" Type="http://schemas.openxmlformats.org/officeDocument/2006/relationships/hyperlink" Target="https://www.consultant.ru/document/cons_doc_LAW_391769/824c911000b3626674abf3ad6e38a6f04b8a7428/" TargetMode="External"/><Relationship Id="rId14" Type="http://schemas.openxmlformats.org/officeDocument/2006/relationships/hyperlink" Target="https://www.consultant.ru/document/cons_doc_LAW_391769/824c911000b3626674abf3ad6e38a6f04b8a74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2022-12-16T07:19:00Z</dcterms:created>
  <dcterms:modified xsi:type="dcterms:W3CDTF">2022-12-16T07:19:00Z</dcterms:modified>
</cp:coreProperties>
</file>